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Pr="00386436" w:rsidRDefault="001F1D35" w:rsidP="001A59EF">
      <w:pPr>
        <w:pStyle w:val="BodyText"/>
        <w:rPr>
          <w:rFonts w:ascii="Times New Roman" w:hAnsi="Times New Roman" w:cs="Times New Roman"/>
        </w:rPr>
      </w:pPr>
    </w:p>
    <w:p w14:paraId="7F98829F" w14:textId="77777777" w:rsidR="004868D2" w:rsidRDefault="004868D2" w:rsidP="004752E7">
      <w:pPr>
        <w:rPr>
          <w:rFonts w:ascii="Times New Roman" w:hAnsi="Times New Roman" w:cs="Times New Roman"/>
        </w:rPr>
      </w:pPr>
    </w:p>
    <w:p w14:paraId="54D84EB2" w14:textId="77777777" w:rsidR="002B5771" w:rsidRPr="00D2782A" w:rsidRDefault="002B5771" w:rsidP="002B5771">
      <w:pPr>
        <w:pStyle w:val="Heading2"/>
        <w:rPr>
          <w:rFonts w:ascii="Times New Roman" w:hAnsi="Times New Roman"/>
        </w:rPr>
      </w:pPr>
      <w:r w:rsidRPr="00D2782A">
        <w:rPr>
          <w:rFonts w:ascii="Times New Roman" w:hAnsi="Times New Roman"/>
        </w:rPr>
        <w:t>Section 15</w:t>
      </w:r>
    </w:p>
    <w:p w14:paraId="094FD7B6" w14:textId="77777777" w:rsidR="002B5771" w:rsidRPr="00D2782A" w:rsidRDefault="002B5771" w:rsidP="002B5771">
      <w:pPr>
        <w:pStyle w:val="Heading2"/>
        <w:rPr>
          <w:rFonts w:ascii="Times New Roman" w:hAnsi="Times New Roman"/>
          <w:sz w:val="24"/>
          <w:szCs w:val="24"/>
        </w:rPr>
      </w:pPr>
      <w:r w:rsidRPr="00D2782A">
        <w:rPr>
          <w:rFonts w:ascii="Times New Roman" w:hAnsi="Times New Roman"/>
        </w:rPr>
        <w:t>Groundwater</w:t>
      </w:r>
    </w:p>
    <w:p w14:paraId="57131AD0" w14:textId="77777777" w:rsidR="002B5771" w:rsidRPr="00D2782A" w:rsidRDefault="002B5771" w:rsidP="002B5771">
      <w:pPr>
        <w:rPr>
          <w:rFonts w:ascii="Times New Roman" w:hAnsi="Times New Roman" w:cs="Times New Roman"/>
          <w:b/>
          <w:bCs/>
        </w:rPr>
      </w:pPr>
    </w:p>
    <w:p w14:paraId="12F87229" w14:textId="77777777" w:rsidR="002B5771" w:rsidRPr="00D2782A" w:rsidRDefault="002B5771" w:rsidP="002B5771">
      <w:pPr>
        <w:pStyle w:val="ListParagraph"/>
        <w:numPr>
          <w:ilvl w:val="0"/>
          <w:numId w:val="62"/>
        </w:numPr>
        <w:rPr>
          <w:rFonts w:ascii="Times New Roman" w:hAnsi="Times New Roman" w:cs="Times New Roman"/>
        </w:rPr>
      </w:pPr>
      <w:r w:rsidRPr="00D2782A">
        <w:rPr>
          <w:rFonts w:ascii="Times New Roman" w:hAnsi="Times New Roman" w:cs="Times New Roman"/>
        </w:rPr>
        <w:t>Narrative and report. Include the following:</w:t>
      </w:r>
    </w:p>
    <w:p w14:paraId="60404524" w14:textId="77777777" w:rsidR="002B5771" w:rsidRPr="00D2782A" w:rsidRDefault="002B5771" w:rsidP="002B5771">
      <w:pPr>
        <w:rPr>
          <w:rFonts w:ascii="Times New Roman" w:hAnsi="Times New Roman" w:cs="Times New Roman"/>
        </w:rPr>
      </w:pPr>
    </w:p>
    <w:p w14:paraId="1CA96367" w14:textId="77777777" w:rsidR="002B5771" w:rsidRPr="00D2782A" w:rsidRDefault="002B5771" w:rsidP="002B5771">
      <w:pPr>
        <w:pStyle w:val="ListParagraph"/>
        <w:numPr>
          <w:ilvl w:val="0"/>
          <w:numId w:val="63"/>
        </w:numPr>
        <w:ind w:left="1080"/>
        <w:rPr>
          <w:rFonts w:ascii="Times New Roman" w:hAnsi="Times New Roman" w:cs="Times New Roman"/>
        </w:rPr>
      </w:pPr>
      <w:r w:rsidRPr="00D2782A">
        <w:rPr>
          <w:rStyle w:val="Strong"/>
          <w:rFonts w:ascii="Times New Roman" w:hAnsi="Times New Roman" w:cs="Times New Roman"/>
        </w:rPr>
        <w:t>Location and maps.</w:t>
      </w:r>
      <w:r w:rsidRPr="00D2782A">
        <w:rPr>
          <w:rFonts w:ascii="Times New Roman" w:hAnsi="Times New Roman" w:cs="Times New Roman"/>
        </w:rPr>
        <w:t xml:space="preserve"> Delineate project boundaries on copies of relevant sections of the following maps if available: Maine Geological Survey (MGS) Sand and Gravel Aquifer Map; MGS Surficial Geology map; and MGS Bedrock Geological map.</w:t>
      </w:r>
    </w:p>
    <w:p w14:paraId="29571A6B" w14:textId="77777777" w:rsidR="002B5771" w:rsidRPr="00D2782A" w:rsidRDefault="002B5771" w:rsidP="002B5771">
      <w:pPr>
        <w:ind w:left="1080" w:hanging="360"/>
        <w:rPr>
          <w:rFonts w:ascii="Times New Roman" w:hAnsi="Times New Roman" w:cs="Times New Roman"/>
        </w:rPr>
      </w:pPr>
    </w:p>
    <w:p w14:paraId="0D9D56F6" w14:textId="77777777" w:rsidR="002B5771" w:rsidRPr="00D2782A" w:rsidRDefault="002B5771" w:rsidP="002B5771">
      <w:pPr>
        <w:pStyle w:val="ListParagraph"/>
        <w:numPr>
          <w:ilvl w:val="0"/>
          <w:numId w:val="63"/>
        </w:numPr>
        <w:ind w:left="1080"/>
        <w:rPr>
          <w:rFonts w:ascii="Times New Roman" w:hAnsi="Times New Roman" w:cs="Times New Roman"/>
        </w:rPr>
      </w:pPr>
      <w:r w:rsidRPr="00D2782A">
        <w:rPr>
          <w:rStyle w:val="Strong"/>
          <w:rFonts w:ascii="Times New Roman" w:hAnsi="Times New Roman" w:cs="Times New Roman"/>
        </w:rPr>
        <w:t>Quantity.</w:t>
      </w:r>
      <w:r w:rsidRPr="00D2782A">
        <w:rPr>
          <w:rFonts w:ascii="Times New Roman" w:hAnsi="Times New Roman" w:cs="Times New Roman"/>
        </w:rPr>
        <w:t xml:space="preserve"> Estimate of the quantity of groundwater (gal/day) to be used, discharged or otherwise extracted by the development. If adverse impacts of groundwater withdrawal including, but not limited to salt water intrusion, reduction of groundwater availability to existing or proposed water supplies or protected natural resources, as defined at 38 M.R.S. § 480-B, or land subsidence have been or can be a problem, provide a report by a certified geologist addressing the potential effects of the development on groundwater quantity.</w:t>
      </w:r>
    </w:p>
    <w:p w14:paraId="681DD7E8" w14:textId="77777777" w:rsidR="002B5771" w:rsidRPr="00D2782A" w:rsidRDefault="002B5771" w:rsidP="002B5771">
      <w:pPr>
        <w:pStyle w:val="ListParagraph"/>
        <w:numPr>
          <w:ilvl w:val="0"/>
          <w:numId w:val="0"/>
        </w:numPr>
        <w:ind w:left="1080"/>
        <w:rPr>
          <w:rFonts w:ascii="Times New Roman" w:hAnsi="Times New Roman" w:cs="Times New Roman"/>
        </w:rPr>
      </w:pPr>
    </w:p>
    <w:p w14:paraId="5BF0D67E" w14:textId="77777777" w:rsidR="002B5771" w:rsidRPr="00D2782A" w:rsidRDefault="002B5771" w:rsidP="002B5771">
      <w:pPr>
        <w:pStyle w:val="ListParagraph"/>
        <w:numPr>
          <w:ilvl w:val="0"/>
          <w:numId w:val="63"/>
        </w:numPr>
        <w:ind w:left="1080"/>
        <w:rPr>
          <w:rFonts w:ascii="Times New Roman" w:hAnsi="Times New Roman" w:cs="Times New Roman"/>
        </w:rPr>
      </w:pPr>
      <w:r w:rsidRPr="00D2782A">
        <w:rPr>
          <w:rStyle w:val="Strong"/>
          <w:rFonts w:ascii="Times New Roman" w:hAnsi="Times New Roman" w:cs="Times New Roman"/>
        </w:rPr>
        <w:t>Sources.</w:t>
      </w:r>
      <w:r w:rsidRPr="00D2782A">
        <w:rPr>
          <w:rFonts w:ascii="Times New Roman" w:hAnsi="Times New Roman" w:cs="Times New Roman"/>
        </w:rPr>
        <w:t xml:space="preserve"> Identification of all potential sources of contamination including, but not limited to wastewater, solid waste, hazardous materials, fuel, solvents or other chemicals handled, stored or disposed of on site. Normal household quantities of these substances need not be specifically listed. If a Phase I or Phase II environmental assessment has been required by a bank, insurance company or other financing agent include the results of this assessment.</w:t>
      </w:r>
    </w:p>
    <w:p w14:paraId="4161793D" w14:textId="77777777" w:rsidR="002B5771" w:rsidRPr="00D2782A" w:rsidRDefault="002B5771" w:rsidP="002B5771">
      <w:pPr>
        <w:pStyle w:val="ListParagraph"/>
        <w:numPr>
          <w:ilvl w:val="0"/>
          <w:numId w:val="0"/>
        </w:numPr>
        <w:ind w:left="1080"/>
        <w:rPr>
          <w:rFonts w:ascii="Times New Roman" w:hAnsi="Times New Roman" w:cs="Times New Roman"/>
        </w:rPr>
      </w:pPr>
    </w:p>
    <w:p w14:paraId="5374EE5A" w14:textId="77777777" w:rsidR="002B5771" w:rsidRPr="00D2782A" w:rsidRDefault="002B5771" w:rsidP="002B5771">
      <w:pPr>
        <w:pStyle w:val="ListParagraph"/>
        <w:numPr>
          <w:ilvl w:val="0"/>
          <w:numId w:val="63"/>
        </w:numPr>
        <w:ind w:left="1080"/>
        <w:rPr>
          <w:rFonts w:ascii="Times New Roman" w:hAnsi="Times New Roman" w:cs="Times New Roman"/>
        </w:rPr>
      </w:pPr>
      <w:r w:rsidRPr="00D2782A">
        <w:rPr>
          <w:rStyle w:val="Strong"/>
          <w:rFonts w:ascii="Times New Roman" w:hAnsi="Times New Roman" w:cs="Times New Roman"/>
        </w:rPr>
        <w:t>Measures to prevent degradation.</w:t>
      </w:r>
      <w:r w:rsidRPr="00D2782A">
        <w:rPr>
          <w:rFonts w:ascii="Times New Roman" w:hAnsi="Times New Roman" w:cs="Times New Roman"/>
        </w:rPr>
        <w:t xml:space="preserve"> Description of the measures to be taken to prevent the degradation of existing ground water quality. Summarize the design, construction, operational and monitoring (if proposed) specifications and procedures to be followed. Monitoring may be required in certain cases including but not limited to developments that propose storage or disposal of liquid or solid waste, wastewater, or fuel, or infiltration of stormwater. Monitoring may also be required in cases where salt-water intrusion or other activities related to extraction of on- site groundwater </w:t>
      </w:r>
      <w:r w:rsidRPr="00D2782A">
        <w:rPr>
          <w:rFonts w:ascii="Times New Roman" w:hAnsi="Times New Roman" w:cs="Times New Roman"/>
        </w:rPr>
        <w:lastRenderedPageBreak/>
        <w:t>may have an adverse impact on predevelopment water quality or quantity. Basic elements of a monitoring plan are outlined in subsection C below. This monitoring program must include monitoring of surface water quality, soils and other media if determined to be necessary by the department.</w:t>
      </w:r>
    </w:p>
    <w:p w14:paraId="47E8E0B1" w14:textId="77777777" w:rsidR="002B5771" w:rsidRPr="00D2782A" w:rsidRDefault="002B5771" w:rsidP="002B5771">
      <w:pPr>
        <w:rPr>
          <w:rFonts w:ascii="Times New Roman" w:hAnsi="Times New Roman" w:cs="Times New Roman"/>
        </w:rPr>
      </w:pPr>
    </w:p>
    <w:p w14:paraId="4C00B2A7" w14:textId="77777777" w:rsidR="002B5771" w:rsidRPr="00D2782A" w:rsidRDefault="002B5771" w:rsidP="002B5771">
      <w:pPr>
        <w:pStyle w:val="ListParagraph"/>
        <w:numPr>
          <w:ilvl w:val="0"/>
          <w:numId w:val="62"/>
        </w:numPr>
        <w:rPr>
          <w:rFonts w:ascii="Times New Roman" w:hAnsi="Times New Roman" w:cs="Times New Roman"/>
        </w:rPr>
      </w:pPr>
      <w:r w:rsidRPr="00D2782A">
        <w:rPr>
          <w:rStyle w:val="Strong"/>
          <w:rFonts w:ascii="Times New Roman" w:hAnsi="Times New Roman" w:cs="Times New Roman"/>
        </w:rPr>
        <w:t>Groundwater protection plan.</w:t>
      </w:r>
      <w:r w:rsidRPr="00D2782A">
        <w:rPr>
          <w:rFonts w:ascii="Times New Roman" w:hAnsi="Times New Roman" w:cs="Times New Roman"/>
        </w:rPr>
        <w:t xml:space="preserve"> If a development will use or store petroleum products, pesticides, herbicides, fertilizer, road salt, solvents, acids or other materials with the potential to contaminate groundwater, provide a groundwater protection plan. The groundwater protection plan must include measures including, but not limited to: equipment design, operational procedures, preventive maintenance, construction techniques and materials, personnel training, spill response capabilities and spill prevention, control and countermeasures plans, alternative materials or processes, implementation of new technology, modification of facilities or equipment, best management practices, hazardous waste contingency plans, runoff or infiltration control systems and siting considerations. Specific exemptions for normal household quantities of these materials should be discussed at the pre-application meeting.</w:t>
      </w:r>
    </w:p>
    <w:p w14:paraId="51D28E07" w14:textId="77777777" w:rsidR="002B5771" w:rsidRPr="00D2782A" w:rsidRDefault="002B5771" w:rsidP="002B5771">
      <w:pPr>
        <w:rPr>
          <w:rFonts w:ascii="Times New Roman" w:hAnsi="Times New Roman" w:cs="Times New Roman"/>
        </w:rPr>
      </w:pPr>
    </w:p>
    <w:p w14:paraId="159F88D3" w14:textId="77777777" w:rsidR="002B5771" w:rsidRPr="00D2782A" w:rsidRDefault="002B5771" w:rsidP="002B5771">
      <w:pPr>
        <w:pStyle w:val="ListParagraph"/>
        <w:numPr>
          <w:ilvl w:val="0"/>
          <w:numId w:val="62"/>
        </w:numPr>
        <w:rPr>
          <w:rFonts w:ascii="Times New Roman" w:hAnsi="Times New Roman" w:cs="Times New Roman"/>
        </w:rPr>
      </w:pPr>
      <w:r w:rsidRPr="00D2782A">
        <w:rPr>
          <w:rStyle w:val="Strong"/>
          <w:rFonts w:ascii="Times New Roman" w:hAnsi="Times New Roman" w:cs="Times New Roman"/>
        </w:rPr>
        <w:t>Monitoring plan.</w:t>
      </w:r>
      <w:r w:rsidRPr="00D2782A">
        <w:rPr>
          <w:rFonts w:ascii="Times New Roman" w:hAnsi="Times New Roman" w:cs="Times New Roman"/>
        </w:rPr>
        <w:t xml:space="preserve"> For a development required to monitor the quality and/or levels of surface water or groundwater, provide a water quality monitoring plan as a separate manual. This document must be prepared, signed and dated by a professional qualified in water chemistry interpretation and/or a certified geologist. The document must include the information listed below. If groundwater monitoring wells will be used, submit the information in subsection D.</w:t>
      </w:r>
    </w:p>
    <w:p w14:paraId="2450B7CF" w14:textId="77777777" w:rsidR="002B5771" w:rsidRPr="00D2782A" w:rsidRDefault="002B5771" w:rsidP="002B5771">
      <w:pPr>
        <w:rPr>
          <w:rFonts w:ascii="Times New Roman" w:hAnsi="Times New Roman" w:cs="Times New Roman"/>
        </w:rPr>
      </w:pPr>
    </w:p>
    <w:p w14:paraId="47A839AB" w14:textId="77777777" w:rsidR="002B5771" w:rsidRPr="00D2782A" w:rsidRDefault="002B5771" w:rsidP="002B5771">
      <w:pPr>
        <w:pStyle w:val="ListParagraph"/>
        <w:numPr>
          <w:ilvl w:val="0"/>
          <w:numId w:val="64"/>
        </w:numPr>
        <w:ind w:left="1080"/>
        <w:rPr>
          <w:rFonts w:ascii="Times New Roman" w:hAnsi="Times New Roman" w:cs="Times New Roman"/>
        </w:rPr>
      </w:pPr>
      <w:r w:rsidRPr="00D2782A">
        <w:rPr>
          <w:rStyle w:val="Strong"/>
          <w:rFonts w:ascii="Times New Roman" w:hAnsi="Times New Roman" w:cs="Times New Roman"/>
        </w:rPr>
        <w:t>Monitoring points.</w:t>
      </w:r>
      <w:r w:rsidRPr="00D2782A">
        <w:rPr>
          <w:rFonts w:ascii="Times New Roman" w:hAnsi="Times New Roman" w:cs="Times New Roman"/>
        </w:rPr>
        <w:t xml:space="preserve"> Identification and summary of all monitoring points (e.g. monitoring wells, lysimeters, springs, etc.) to be used for measurement of water level or for water quality analysis. Monitoring points must have an assigned identification symbol (alpha/numeric) and, as appropriate, elevation referenced to an established permanent benchmark. Include a map showing all monitoring points.</w:t>
      </w:r>
    </w:p>
    <w:p w14:paraId="1BB93B2D" w14:textId="77777777" w:rsidR="002B5771" w:rsidRPr="00D2782A" w:rsidRDefault="002B5771" w:rsidP="002B5771">
      <w:pPr>
        <w:pStyle w:val="ListParagraph"/>
        <w:numPr>
          <w:ilvl w:val="0"/>
          <w:numId w:val="0"/>
        </w:numPr>
        <w:ind w:left="1080"/>
        <w:rPr>
          <w:rFonts w:ascii="Times New Roman" w:hAnsi="Times New Roman" w:cs="Times New Roman"/>
        </w:rPr>
      </w:pPr>
    </w:p>
    <w:p w14:paraId="2C1FEFF6" w14:textId="77777777" w:rsidR="002B5771" w:rsidRPr="00D2782A" w:rsidRDefault="002B5771" w:rsidP="002B5771">
      <w:pPr>
        <w:pStyle w:val="ListParagraph"/>
        <w:numPr>
          <w:ilvl w:val="0"/>
          <w:numId w:val="64"/>
        </w:numPr>
        <w:ind w:left="1080"/>
        <w:rPr>
          <w:rFonts w:ascii="Times New Roman" w:hAnsi="Times New Roman" w:cs="Times New Roman"/>
        </w:rPr>
      </w:pPr>
      <w:r w:rsidRPr="00D2782A">
        <w:rPr>
          <w:rStyle w:val="Strong"/>
          <w:rFonts w:ascii="Times New Roman" w:hAnsi="Times New Roman" w:cs="Times New Roman"/>
        </w:rPr>
        <w:t>Monitoring frequency.</w:t>
      </w:r>
      <w:r w:rsidRPr="00D2782A">
        <w:rPr>
          <w:rFonts w:ascii="Times New Roman" w:hAnsi="Times New Roman" w:cs="Times New Roman"/>
        </w:rPr>
        <w:t xml:space="preserve"> Outline of the monitoring frequency at each monitoring point by the number of sampling/analysis events per year (e.g. quarterly, etc.) and by month (e.g. April, September, etc.).</w:t>
      </w:r>
    </w:p>
    <w:p w14:paraId="60457633" w14:textId="77777777" w:rsidR="002B5771" w:rsidRPr="00D2782A" w:rsidRDefault="002B5771" w:rsidP="002B5771">
      <w:pPr>
        <w:pStyle w:val="ListParagraph"/>
        <w:numPr>
          <w:ilvl w:val="0"/>
          <w:numId w:val="0"/>
        </w:numPr>
        <w:ind w:left="1080"/>
        <w:rPr>
          <w:rFonts w:ascii="Times New Roman" w:hAnsi="Times New Roman" w:cs="Times New Roman"/>
        </w:rPr>
      </w:pPr>
    </w:p>
    <w:p w14:paraId="63D46774" w14:textId="77777777" w:rsidR="002B5771" w:rsidRPr="00D2782A" w:rsidRDefault="002B5771" w:rsidP="002B5771">
      <w:pPr>
        <w:pStyle w:val="ListParagraph"/>
        <w:numPr>
          <w:ilvl w:val="0"/>
          <w:numId w:val="64"/>
        </w:numPr>
        <w:ind w:left="1080"/>
        <w:rPr>
          <w:rFonts w:ascii="Times New Roman" w:hAnsi="Times New Roman" w:cs="Times New Roman"/>
        </w:rPr>
      </w:pPr>
      <w:r w:rsidRPr="00D2782A">
        <w:rPr>
          <w:rStyle w:val="Strong"/>
          <w:rFonts w:ascii="Times New Roman" w:hAnsi="Times New Roman" w:cs="Times New Roman"/>
        </w:rPr>
        <w:t>Background water quality/levels.</w:t>
      </w:r>
      <w:r w:rsidRPr="00D2782A">
        <w:rPr>
          <w:rFonts w:ascii="Times New Roman" w:hAnsi="Times New Roman" w:cs="Times New Roman"/>
        </w:rPr>
        <w:t xml:space="preserve"> Provision for obtaining adequate data on background water quality and/or levels and for using a statistically valid method for determining a significant increase in parameter concentrations (e.g. contamination levels, but not necessarily MCL’s/MEG’s). At a minimum, determination of background water quality or levels must consist of quarterly monitoring for 1 year.</w:t>
      </w:r>
    </w:p>
    <w:p w14:paraId="6691C0AE" w14:textId="77777777" w:rsidR="002B5771" w:rsidRPr="00D2782A" w:rsidRDefault="002B5771" w:rsidP="002B5771">
      <w:pPr>
        <w:pStyle w:val="ListParagraph"/>
        <w:numPr>
          <w:ilvl w:val="0"/>
          <w:numId w:val="0"/>
        </w:numPr>
        <w:ind w:left="1080"/>
        <w:rPr>
          <w:rFonts w:ascii="Times New Roman" w:hAnsi="Times New Roman" w:cs="Times New Roman"/>
        </w:rPr>
      </w:pPr>
    </w:p>
    <w:p w14:paraId="0099B080" w14:textId="77777777" w:rsidR="002B5771" w:rsidRPr="00D2782A" w:rsidRDefault="002B5771" w:rsidP="002B5771">
      <w:pPr>
        <w:pStyle w:val="ListParagraph"/>
        <w:numPr>
          <w:ilvl w:val="0"/>
          <w:numId w:val="64"/>
        </w:numPr>
        <w:ind w:left="1080"/>
        <w:rPr>
          <w:rFonts w:ascii="Times New Roman" w:hAnsi="Times New Roman" w:cs="Times New Roman"/>
        </w:rPr>
      </w:pPr>
      <w:r w:rsidRPr="00D2782A">
        <w:rPr>
          <w:rStyle w:val="Strong"/>
          <w:rFonts w:ascii="Times New Roman" w:hAnsi="Times New Roman" w:cs="Times New Roman"/>
        </w:rPr>
        <w:t>Monitoring parameters.</w:t>
      </w:r>
      <w:r w:rsidRPr="00D2782A">
        <w:rPr>
          <w:rFonts w:ascii="Times New Roman" w:hAnsi="Times New Roman" w:cs="Times New Roman"/>
        </w:rPr>
        <w:t xml:space="preserve"> List of parameters to be analyzed including references to the laboratory analysis methods to be utilized for each parameter, detection limits for each analysis method and the MCLs/MEGs for all applicable parameters. All monitoring must include field parameters (conductivity, temperature, pH and TDS), in addition to parameters specific to the monitoring program objectives.</w:t>
      </w:r>
    </w:p>
    <w:p w14:paraId="2314D773" w14:textId="77777777" w:rsidR="002B5771" w:rsidRPr="00D2782A" w:rsidRDefault="002B5771" w:rsidP="002B5771">
      <w:pPr>
        <w:pStyle w:val="ListParagraph"/>
        <w:numPr>
          <w:ilvl w:val="0"/>
          <w:numId w:val="0"/>
        </w:numPr>
        <w:ind w:left="1080"/>
        <w:rPr>
          <w:rFonts w:ascii="Times New Roman" w:hAnsi="Times New Roman" w:cs="Times New Roman"/>
        </w:rPr>
      </w:pPr>
    </w:p>
    <w:p w14:paraId="719A0C0D" w14:textId="77777777" w:rsidR="002B5771" w:rsidRPr="00D2782A" w:rsidRDefault="002B5771" w:rsidP="002B5771">
      <w:pPr>
        <w:pStyle w:val="ListParagraph"/>
        <w:numPr>
          <w:ilvl w:val="0"/>
          <w:numId w:val="64"/>
        </w:numPr>
        <w:ind w:left="1080"/>
        <w:rPr>
          <w:rFonts w:ascii="Times New Roman" w:hAnsi="Times New Roman" w:cs="Times New Roman"/>
        </w:rPr>
      </w:pPr>
      <w:r w:rsidRPr="00D2782A">
        <w:rPr>
          <w:rStyle w:val="Strong"/>
          <w:rFonts w:ascii="Times New Roman" w:hAnsi="Times New Roman" w:cs="Times New Roman"/>
        </w:rPr>
        <w:t>Monitoring personnel qualifications.</w:t>
      </w:r>
      <w:r w:rsidRPr="00D2782A">
        <w:rPr>
          <w:rFonts w:ascii="Times New Roman" w:hAnsi="Times New Roman" w:cs="Times New Roman"/>
        </w:rPr>
        <w:t xml:space="preserve"> Identification of the qualified personnel responsible for taking water level measurements and water quality analysis samples. </w:t>
      </w:r>
      <w:r w:rsidRPr="00D2782A">
        <w:rPr>
          <w:rFonts w:ascii="Times New Roman" w:hAnsi="Times New Roman" w:cs="Times New Roman"/>
        </w:rPr>
        <w:lastRenderedPageBreak/>
        <w:t>The applicant or employee of the applicant should not do these tasks, but, if proposed, then subsection 6 below must be addressed.</w:t>
      </w:r>
    </w:p>
    <w:p w14:paraId="3DCD39AF" w14:textId="77777777" w:rsidR="002B5771" w:rsidRPr="00D2782A" w:rsidRDefault="002B5771" w:rsidP="002B5771">
      <w:pPr>
        <w:pStyle w:val="ListParagraph"/>
        <w:numPr>
          <w:ilvl w:val="0"/>
          <w:numId w:val="0"/>
        </w:numPr>
        <w:ind w:left="1080"/>
        <w:rPr>
          <w:rFonts w:ascii="Times New Roman" w:hAnsi="Times New Roman" w:cs="Times New Roman"/>
        </w:rPr>
      </w:pPr>
    </w:p>
    <w:p w14:paraId="052AC07A" w14:textId="77777777" w:rsidR="002B5771" w:rsidRPr="00D2782A" w:rsidRDefault="002B5771" w:rsidP="002B5771">
      <w:pPr>
        <w:pStyle w:val="ListParagraph"/>
        <w:numPr>
          <w:ilvl w:val="0"/>
          <w:numId w:val="64"/>
        </w:numPr>
        <w:ind w:left="1080"/>
        <w:rPr>
          <w:rFonts w:ascii="Times New Roman" w:hAnsi="Times New Roman" w:cs="Times New Roman"/>
        </w:rPr>
      </w:pPr>
      <w:r w:rsidRPr="00D2782A">
        <w:rPr>
          <w:rStyle w:val="Strong"/>
          <w:rFonts w:ascii="Times New Roman" w:hAnsi="Times New Roman" w:cs="Times New Roman"/>
        </w:rPr>
        <w:t>Proof of adequate training.</w:t>
      </w:r>
      <w:r w:rsidRPr="00D2782A">
        <w:rPr>
          <w:rFonts w:ascii="Times New Roman" w:hAnsi="Times New Roman" w:cs="Times New Roman"/>
        </w:rPr>
        <w:t xml:space="preserve"> Written certification from a qualified expert that the personnel conducting monitoring are or will be adequately trained to properly collect measurements and/or samples by approved methods and protocols.</w:t>
      </w:r>
    </w:p>
    <w:p w14:paraId="5426A9E3" w14:textId="77777777" w:rsidR="002B5771" w:rsidRPr="00D2782A" w:rsidRDefault="002B5771" w:rsidP="002B5771">
      <w:pPr>
        <w:pStyle w:val="ListParagraph"/>
        <w:numPr>
          <w:ilvl w:val="0"/>
          <w:numId w:val="0"/>
        </w:numPr>
        <w:ind w:left="1080"/>
        <w:rPr>
          <w:rFonts w:ascii="Times New Roman" w:hAnsi="Times New Roman" w:cs="Times New Roman"/>
        </w:rPr>
      </w:pPr>
    </w:p>
    <w:p w14:paraId="6A5051B0" w14:textId="77777777" w:rsidR="002B5771" w:rsidRPr="00D2782A" w:rsidRDefault="002B5771" w:rsidP="002B5771">
      <w:pPr>
        <w:pStyle w:val="ListParagraph"/>
        <w:numPr>
          <w:ilvl w:val="0"/>
          <w:numId w:val="64"/>
        </w:numPr>
        <w:ind w:left="1080"/>
        <w:rPr>
          <w:rFonts w:ascii="Times New Roman" w:hAnsi="Times New Roman" w:cs="Times New Roman"/>
        </w:rPr>
      </w:pPr>
      <w:r w:rsidRPr="00D2782A">
        <w:rPr>
          <w:rStyle w:val="Strong"/>
          <w:rFonts w:ascii="Times New Roman" w:hAnsi="Times New Roman" w:cs="Times New Roman"/>
        </w:rPr>
        <w:t>Monitoring equipment and methods.</w:t>
      </w:r>
      <w:r w:rsidRPr="00D2782A">
        <w:rPr>
          <w:rFonts w:ascii="Times New Roman" w:hAnsi="Times New Roman" w:cs="Times New Roman"/>
        </w:rPr>
        <w:t xml:space="preserve"> Description of the equipment and methods to be employed for water level measurement and/ or water quality analysis sample taking.</w:t>
      </w:r>
    </w:p>
    <w:p w14:paraId="265AC02E" w14:textId="77777777" w:rsidR="002B5771" w:rsidRPr="00D2782A" w:rsidRDefault="002B5771" w:rsidP="002B5771">
      <w:pPr>
        <w:pStyle w:val="ListParagraph"/>
        <w:numPr>
          <w:ilvl w:val="0"/>
          <w:numId w:val="0"/>
        </w:numPr>
        <w:ind w:left="1080"/>
        <w:rPr>
          <w:rFonts w:ascii="Times New Roman" w:hAnsi="Times New Roman" w:cs="Times New Roman"/>
        </w:rPr>
      </w:pPr>
    </w:p>
    <w:p w14:paraId="028B6621" w14:textId="77777777" w:rsidR="002B5771" w:rsidRPr="00D2782A" w:rsidRDefault="002B5771" w:rsidP="002B5771">
      <w:pPr>
        <w:pStyle w:val="ListParagraph"/>
        <w:numPr>
          <w:ilvl w:val="0"/>
          <w:numId w:val="64"/>
        </w:numPr>
        <w:ind w:left="1080"/>
        <w:rPr>
          <w:rFonts w:ascii="Times New Roman" w:hAnsi="Times New Roman" w:cs="Times New Roman"/>
        </w:rPr>
      </w:pPr>
      <w:r w:rsidRPr="00D2782A">
        <w:rPr>
          <w:rStyle w:val="Strong"/>
          <w:rFonts w:ascii="Times New Roman" w:hAnsi="Times New Roman" w:cs="Times New Roman"/>
        </w:rPr>
        <w:t>Quality assurance/quality control and chain-of-custody protocols.</w:t>
      </w:r>
      <w:r w:rsidRPr="00D2782A">
        <w:rPr>
          <w:rFonts w:ascii="Times New Roman" w:hAnsi="Times New Roman" w:cs="Times New Roman"/>
        </w:rPr>
        <w:t xml:space="preserve"> Description of the quality assurance/quality control and chain-of-custody protocols to be followed for water quality sampling, preservation, storage, transport and laboratory analysis.</w:t>
      </w:r>
    </w:p>
    <w:p w14:paraId="38D9A30E" w14:textId="77777777" w:rsidR="002B5771" w:rsidRPr="00D2782A" w:rsidRDefault="002B5771" w:rsidP="002B5771">
      <w:pPr>
        <w:pStyle w:val="ListParagraph"/>
        <w:numPr>
          <w:ilvl w:val="0"/>
          <w:numId w:val="0"/>
        </w:numPr>
        <w:ind w:left="1080"/>
        <w:rPr>
          <w:rFonts w:ascii="Times New Roman" w:hAnsi="Times New Roman" w:cs="Times New Roman"/>
        </w:rPr>
      </w:pPr>
    </w:p>
    <w:p w14:paraId="10512A3B" w14:textId="77777777" w:rsidR="002B5771" w:rsidRPr="00D2782A" w:rsidRDefault="002B5771" w:rsidP="002B5771">
      <w:pPr>
        <w:pStyle w:val="ListParagraph"/>
        <w:numPr>
          <w:ilvl w:val="0"/>
          <w:numId w:val="64"/>
        </w:numPr>
        <w:ind w:left="1080"/>
        <w:rPr>
          <w:rFonts w:ascii="Times New Roman" w:hAnsi="Times New Roman" w:cs="Times New Roman"/>
        </w:rPr>
      </w:pPr>
      <w:r w:rsidRPr="00D2782A">
        <w:rPr>
          <w:rStyle w:val="Strong"/>
          <w:rFonts w:ascii="Times New Roman" w:hAnsi="Times New Roman" w:cs="Times New Roman"/>
        </w:rPr>
        <w:t>Reporting requirements.</w:t>
      </w:r>
      <w:r w:rsidRPr="00D2782A">
        <w:rPr>
          <w:rFonts w:ascii="Times New Roman" w:hAnsi="Times New Roman" w:cs="Times New Roman"/>
        </w:rPr>
        <w:t xml:space="preserve"> Provision to submit all data and analyses to the department annually, or at another schedule required by the department. Annual reports should present data in a tabular format including data from previous monitoring. In the event contamination is detected, or operational problems which could lead to contamination occur, the department must be notified immediately. Reports must be signed and dated by the professional responsible for their preparation.</w:t>
      </w:r>
    </w:p>
    <w:p w14:paraId="14CDD142" w14:textId="77777777" w:rsidR="002B5771" w:rsidRPr="00D2782A" w:rsidRDefault="002B5771" w:rsidP="002B5771">
      <w:pPr>
        <w:pStyle w:val="ListParagraph"/>
        <w:numPr>
          <w:ilvl w:val="0"/>
          <w:numId w:val="0"/>
        </w:numPr>
        <w:ind w:left="1080"/>
        <w:rPr>
          <w:rFonts w:ascii="Times New Roman" w:hAnsi="Times New Roman" w:cs="Times New Roman"/>
        </w:rPr>
      </w:pPr>
    </w:p>
    <w:p w14:paraId="36E190D1" w14:textId="77777777" w:rsidR="002B5771" w:rsidRPr="00D2782A" w:rsidRDefault="002B5771" w:rsidP="002B5771">
      <w:pPr>
        <w:pStyle w:val="ListParagraph"/>
        <w:numPr>
          <w:ilvl w:val="0"/>
          <w:numId w:val="64"/>
        </w:numPr>
        <w:ind w:left="1080"/>
        <w:rPr>
          <w:rFonts w:ascii="Times New Roman" w:hAnsi="Times New Roman" w:cs="Times New Roman"/>
        </w:rPr>
      </w:pPr>
      <w:r w:rsidRPr="00D2782A">
        <w:rPr>
          <w:rStyle w:val="Strong"/>
          <w:rFonts w:ascii="Times New Roman" w:hAnsi="Times New Roman" w:cs="Times New Roman"/>
        </w:rPr>
        <w:t>Remedial action/mitigation plan.</w:t>
      </w:r>
      <w:r w:rsidRPr="00D2782A">
        <w:rPr>
          <w:rFonts w:ascii="Times New Roman" w:hAnsi="Times New Roman" w:cs="Times New Roman"/>
        </w:rPr>
        <w:t xml:space="preserve"> A provision that, if water levels or water quality monitoring results indicate adverse effects are occurring as a result of the project activity, then an evaluation will be made by a qualified professional and an appropriate remedial action and/or mitigation plan will be developed and submitted to the department for review and approval.</w:t>
      </w:r>
    </w:p>
    <w:p w14:paraId="067D727A" w14:textId="77777777" w:rsidR="002B5771" w:rsidRPr="00D2782A" w:rsidRDefault="002B5771" w:rsidP="002B5771">
      <w:pPr>
        <w:rPr>
          <w:rFonts w:ascii="Times New Roman" w:hAnsi="Times New Roman" w:cs="Times New Roman"/>
        </w:rPr>
      </w:pPr>
    </w:p>
    <w:p w14:paraId="159D6FEA" w14:textId="77777777" w:rsidR="002B5771" w:rsidRPr="00D2782A" w:rsidRDefault="002B5771" w:rsidP="002B5771">
      <w:pPr>
        <w:pStyle w:val="ListParagraph"/>
        <w:numPr>
          <w:ilvl w:val="0"/>
          <w:numId w:val="62"/>
        </w:numPr>
        <w:rPr>
          <w:rFonts w:ascii="Times New Roman" w:hAnsi="Times New Roman" w:cs="Times New Roman"/>
        </w:rPr>
      </w:pPr>
      <w:r w:rsidRPr="00D2782A">
        <w:rPr>
          <w:rStyle w:val="Strong"/>
          <w:rFonts w:ascii="Times New Roman" w:hAnsi="Times New Roman" w:cs="Times New Roman"/>
        </w:rPr>
        <w:t>Monitoring well installation report.</w:t>
      </w:r>
      <w:r w:rsidRPr="00D2782A">
        <w:rPr>
          <w:rFonts w:ascii="Times New Roman" w:hAnsi="Times New Roman" w:cs="Times New Roman"/>
        </w:rPr>
        <w:t xml:space="preserve"> If an applicant is required to monitor groundwater level or quality, then locations, depths and construction details of monitoring wells or piezometers must be provided. Submit a report, endorsed by a certified geologist, containing a narrative which indicates the date each monitoring point was installed, the method of installation, the purpose and objectives of the monitoring network and a discussion on the basis for selection of monitoring well or piezometer locations and depths. Include the following information:</w:t>
      </w:r>
    </w:p>
    <w:p w14:paraId="53DB2352" w14:textId="77777777" w:rsidR="002B5771" w:rsidRPr="00D2782A" w:rsidRDefault="002B5771" w:rsidP="002B5771">
      <w:pPr>
        <w:rPr>
          <w:rFonts w:ascii="Times New Roman" w:hAnsi="Times New Roman" w:cs="Times New Roman"/>
        </w:rPr>
      </w:pPr>
    </w:p>
    <w:p w14:paraId="18E6ED4A"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Well location map.</w:t>
      </w:r>
      <w:r w:rsidRPr="00D2782A">
        <w:rPr>
          <w:rFonts w:ascii="Times New Roman" w:hAnsi="Times New Roman" w:cs="Times New Roman"/>
        </w:rPr>
        <w:t xml:space="preserve"> A map showing final groundwater monitoring well or piezometer locations with identification symbols (alpha or numeric) for each monitoring point, including the location of the benchmark (BM) used to determine well or piezometer elevations and ground surface elevations. Include notes describing the BM, its reference elevation, and the name, title and address of the party responsible for establishing the BM.</w:t>
      </w:r>
    </w:p>
    <w:p w14:paraId="6E29E3F5" w14:textId="77777777" w:rsidR="002B5771" w:rsidRPr="00D2782A" w:rsidRDefault="002B5771" w:rsidP="002B5771">
      <w:pPr>
        <w:pStyle w:val="ListParagraph"/>
        <w:numPr>
          <w:ilvl w:val="0"/>
          <w:numId w:val="0"/>
        </w:numPr>
        <w:ind w:left="1080"/>
        <w:rPr>
          <w:rFonts w:ascii="Times New Roman" w:hAnsi="Times New Roman" w:cs="Times New Roman"/>
        </w:rPr>
      </w:pPr>
    </w:p>
    <w:p w14:paraId="581B110F"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Elevation data.</w:t>
      </w:r>
      <w:r w:rsidRPr="00D2782A">
        <w:rPr>
          <w:rFonts w:ascii="Times New Roman" w:hAnsi="Times New Roman" w:cs="Times New Roman"/>
        </w:rPr>
        <w:t xml:space="preserve"> Elevations (to the nearest tenth of a foot) of the following for each monitoring point: ground surface, top-of-casing (at the specific point on casing from which groundwater depth will be measured) and the top and bottom of the well/piezometer screen interval referenced to an identified BM. Elevations based on the NGVD of 1929 are preferable; however, an assumed datum may be used.</w:t>
      </w:r>
    </w:p>
    <w:p w14:paraId="216A4B63" w14:textId="77777777" w:rsidR="002B5771" w:rsidRPr="00D2782A" w:rsidRDefault="002B5771" w:rsidP="002B5771">
      <w:pPr>
        <w:pStyle w:val="ListParagraph"/>
        <w:numPr>
          <w:ilvl w:val="0"/>
          <w:numId w:val="0"/>
        </w:numPr>
        <w:ind w:left="1080"/>
        <w:rPr>
          <w:rFonts w:ascii="Times New Roman" w:hAnsi="Times New Roman" w:cs="Times New Roman"/>
        </w:rPr>
      </w:pPr>
    </w:p>
    <w:p w14:paraId="05DACDC4"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Well installation/measurement data.</w:t>
      </w:r>
      <w:r w:rsidRPr="00D2782A">
        <w:rPr>
          <w:rFonts w:ascii="Times New Roman" w:hAnsi="Times New Roman" w:cs="Times New Roman"/>
        </w:rPr>
        <w:t xml:space="preserve"> Measurements (to the nearest tenth of a foot) of the following for each monitoring point: depth to bottom of borehole and well casing from ground surface and height above the ground surface of top-of-casing (i.e. pipe “stickup” height).</w:t>
      </w:r>
    </w:p>
    <w:p w14:paraId="36147F8B" w14:textId="77777777" w:rsidR="002B5771" w:rsidRPr="00D2782A" w:rsidRDefault="002B5771" w:rsidP="002B5771">
      <w:pPr>
        <w:pStyle w:val="ListParagraph"/>
        <w:numPr>
          <w:ilvl w:val="0"/>
          <w:numId w:val="0"/>
        </w:numPr>
        <w:ind w:left="1080"/>
        <w:rPr>
          <w:rFonts w:ascii="Times New Roman" w:hAnsi="Times New Roman" w:cs="Times New Roman"/>
        </w:rPr>
      </w:pPr>
    </w:p>
    <w:p w14:paraId="4B6DB8D5"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Well construction details.</w:t>
      </w:r>
      <w:r w:rsidRPr="00D2782A">
        <w:rPr>
          <w:rFonts w:ascii="Times New Roman" w:hAnsi="Times New Roman" w:cs="Times New Roman"/>
        </w:rPr>
        <w:t xml:space="preserve"> Description of type and thickness of seals, texture of packing used around screened interval and diameter/specifications of well screen and casing.</w:t>
      </w:r>
    </w:p>
    <w:p w14:paraId="4B58AC34" w14:textId="77777777" w:rsidR="002B5771" w:rsidRPr="00D2782A" w:rsidRDefault="002B5771" w:rsidP="002B5771">
      <w:pPr>
        <w:pStyle w:val="ListParagraph"/>
        <w:numPr>
          <w:ilvl w:val="0"/>
          <w:numId w:val="0"/>
        </w:numPr>
        <w:ind w:left="1080"/>
        <w:rPr>
          <w:rFonts w:ascii="Times New Roman" w:hAnsi="Times New Roman" w:cs="Times New Roman"/>
        </w:rPr>
      </w:pPr>
    </w:p>
    <w:p w14:paraId="23D32527"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Borehole logs.</w:t>
      </w:r>
      <w:r w:rsidRPr="00D2782A">
        <w:rPr>
          <w:rFonts w:ascii="Times New Roman" w:hAnsi="Times New Roman" w:cs="Times New Roman"/>
        </w:rPr>
        <w:t xml:space="preserve"> Borehole logs annotated by a certified geologist if a well driller recorded original logs.</w:t>
      </w:r>
    </w:p>
    <w:p w14:paraId="76450FF9" w14:textId="77777777" w:rsidR="002B5771" w:rsidRPr="00D2782A" w:rsidRDefault="002B5771" w:rsidP="002B5771">
      <w:pPr>
        <w:pStyle w:val="ListParagraph"/>
        <w:numPr>
          <w:ilvl w:val="0"/>
          <w:numId w:val="0"/>
        </w:numPr>
        <w:ind w:left="1080"/>
        <w:rPr>
          <w:rFonts w:ascii="Times New Roman" w:hAnsi="Times New Roman" w:cs="Times New Roman"/>
        </w:rPr>
      </w:pPr>
    </w:p>
    <w:p w14:paraId="5282B63F"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Summary of groundwater depth measurements.</w:t>
      </w:r>
      <w:r w:rsidRPr="00D2782A">
        <w:rPr>
          <w:rFonts w:ascii="Times New Roman" w:hAnsi="Times New Roman" w:cs="Times New Roman"/>
        </w:rPr>
        <w:t xml:space="preserve"> Summary of depths and elevations measurements to phreatic or potentiometric groundwater surface.</w:t>
      </w:r>
    </w:p>
    <w:p w14:paraId="7B967336" w14:textId="77777777" w:rsidR="002B5771" w:rsidRPr="00D2782A" w:rsidRDefault="002B5771" w:rsidP="002B5771">
      <w:pPr>
        <w:pStyle w:val="ListParagraph"/>
        <w:numPr>
          <w:ilvl w:val="0"/>
          <w:numId w:val="0"/>
        </w:numPr>
        <w:ind w:left="1080"/>
        <w:rPr>
          <w:rFonts w:ascii="Times New Roman" w:hAnsi="Times New Roman" w:cs="Times New Roman"/>
        </w:rPr>
      </w:pPr>
    </w:p>
    <w:p w14:paraId="55CEE723"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Hydrogeologic characteristics of subsurface strata.</w:t>
      </w:r>
      <w:r w:rsidRPr="00D2782A">
        <w:rPr>
          <w:rFonts w:ascii="Times New Roman" w:hAnsi="Times New Roman" w:cs="Times New Roman"/>
        </w:rPr>
        <w:t xml:space="preserve"> Hydraulic conductivity of subsurface strata and associated field data and calculations. Include estimated time-of-travel from potential contamination sources to each monitoring point.</w:t>
      </w:r>
    </w:p>
    <w:p w14:paraId="7D8601C1" w14:textId="77777777" w:rsidR="002B5771" w:rsidRPr="00D2782A" w:rsidRDefault="002B5771" w:rsidP="002B5771">
      <w:pPr>
        <w:pStyle w:val="ListParagraph"/>
        <w:numPr>
          <w:ilvl w:val="0"/>
          <w:numId w:val="0"/>
        </w:numPr>
        <w:ind w:left="1080"/>
        <w:rPr>
          <w:rFonts w:ascii="Times New Roman" w:hAnsi="Times New Roman" w:cs="Times New Roman"/>
        </w:rPr>
      </w:pPr>
    </w:p>
    <w:p w14:paraId="18FE335D"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Well installation contract details.</w:t>
      </w:r>
      <w:r w:rsidRPr="00D2782A">
        <w:rPr>
          <w:rFonts w:ascii="Times New Roman" w:hAnsi="Times New Roman" w:cs="Times New Roman"/>
        </w:rPr>
        <w:t xml:space="preserve"> Copy of well/piezometer drilling and installation contract and specifications, if any.</w:t>
      </w:r>
    </w:p>
    <w:p w14:paraId="6B054023" w14:textId="77777777" w:rsidR="002B5771" w:rsidRPr="00D2782A" w:rsidRDefault="002B5771" w:rsidP="002B5771">
      <w:pPr>
        <w:pStyle w:val="ListParagraph"/>
        <w:numPr>
          <w:ilvl w:val="0"/>
          <w:numId w:val="0"/>
        </w:numPr>
        <w:ind w:left="1080"/>
        <w:rPr>
          <w:rFonts w:ascii="Times New Roman" w:hAnsi="Times New Roman" w:cs="Times New Roman"/>
        </w:rPr>
      </w:pPr>
    </w:p>
    <w:p w14:paraId="437A7840"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Schematic cross section.</w:t>
      </w:r>
      <w:r w:rsidRPr="00D2782A">
        <w:rPr>
          <w:rFonts w:ascii="Times New Roman" w:hAnsi="Times New Roman" w:cs="Times New Roman"/>
        </w:rPr>
        <w:t xml:space="preserve"> The information outlined in subsections 2 through 6 above should be included in schematic cross-section diagrams for each monitoring point installed.</w:t>
      </w:r>
    </w:p>
    <w:p w14:paraId="4C63FAB4" w14:textId="77777777" w:rsidR="002B5771" w:rsidRPr="00D2782A" w:rsidRDefault="002B5771" w:rsidP="002B5771">
      <w:pPr>
        <w:pStyle w:val="ListParagraph"/>
        <w:numPr>
          <w:ilvl w:val="0"/>
          <w:numId w:val="0"/>
        </w:numPr>
        <w:ind w:left="1080"/>
        <w:rPr>
          <w:rFonts w:ascii="Times New Roman" w:hAnsi="Times New Roman" w:cs="Times New Roman"/>
        </w:rPr>
      </w:pPr>
    </w:p>
    <w:p w14:paraId="3295A1DC"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Monitoring point summary table.</w:t>
      </w:r>
      <w:r w:rsidRPr="00D2782A">
        <w:rPr>
          <w:rFonts w:ascii="Times New Roman" w:hAnsi="Times New Roman" w:cs="Times New Roman"/>
        </w:rPr>
        <w:t xml:space="preserve"> Include a summary table for all monitoring points, containing the monitoring point identification symbol, top-of-casing elevation, ground surface elevation and well/piezometer depth.</w:t>
      </w:r>
    </w:p>
    <w:p w14:paraId="316F3FED" w14:textId="77777777" w:rsidR="002B5771" w:rsidRPr="00D2782A" w:rsidRDefault="002B5771" w:rsidP="002B5771">
      <w:pPr>
        <w:pStyle w:val="ListParagraph"/>
        <w:numPr>
          <w:ilvl w:val="0"/>
          <w:numId w:val="0"/>
        </w:numPr>
        <w:ind w:left="1080"/>
        <w:rPr>
          <w:rFonts w:ascii="Times New Roman" w:hAnsi="Times New Roman" w:cs="Times New Roman"/>
        </w:rPr>
      </w:pPr>
    </w:p>
    <w:p w14:paraId="13F43A1F"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Protective casing.</w:t>
      </w:r>
      <w:r w:rsidRPr="00D2782A">
        <w:rPr>
          <w:rFonts w:ascii="Times New Roman" w:hAnsi="Times New Roman" w:cs="Times New Roman"/>
        </w:rPr>
        <w:t xml:space="preserve"> Provide protective steel casings with locking caps or other measures to protect the wells (e.g. near high-traffic areas, bollards may be necessary to further protect monitoring points).</w:t>
      </w:r>
    </w:p>
    <w:p w14:paraId="1B6674A1" w14:textId="77777777" w:rsidR="002B5771" w:rsidRPr="00D2782A" w:rsidRDefault="002B5771" w:rsidP="002B5771">
      <w:pPr>
        <w:pStyle w:val="ListParagraph"/>
        <w:numPr>
          <w:ilvl w:val="0"/>
          <w:numId w:val="0"/>
        </w:numPr>
        <w:ind w:left="1080"/>
        <w:rPr>
          <w:rFonts w:ascii="Times New Roman" w:hAnsi="Times New Roman" w:cs="Times New Roman"/>
        </w:rPr>
      </w:pPr>
    </w:p>
    <w:p w14:paraId="44951543" w14:textId="77777777" w:rsidR="002B5771" w:rsidRPr="00D2782A" w:rsidRDefault="002B5771" w:rsidP="002B5771">
      <w:pPr>
        <w:pStyle w:val="ListParagraph"/>
        <w:numPr>
          <w:ilvl w:val="0"/>
          <w:numId w:val="65"/>
        </w:numPr>
        <w:ind w:left="1080"/>
        <w:rPr>
          <w:rFonts w:ascii="Times New Roman" w:hAnsi="Times New Roman" w:cs="Times New Roman"/>
        </w:rPr>
      </w:pPr>
      <w:r w:rsidRPr="00D2782A">
        <w:rPr>
          <w:rStyle w:val="Strong"/>
          <w:rFonts w:ascii="Times New Roman" w:hAnsi="Times New Roman" w:cs="Times New Roman"/>
        </w:rPr>
        <w:t>On-site well identification.</w:t>
      </w:r>
      <w:r w:rsidRPr="00D2782A">
        <w:rPr>
          <w:rFonts w:ascii="Times New Roman" w:hAnsi="Times New Roman" w:cs="Times New Roman"/>
        </w:rPr>
        <w:t xml:space="preserve"> Permanent I.D. markings that include a tag inside the well cap and I.D. markings on the outside of the protective casing must be provided. A witness stake or flagging at each monitoring point or brightly painted casing should be considered so that monitoring points may be easily found, except in cases where vandalism is likely and subdued monitoring locations are more practical.</w:t>
      </w:r>
    </w:p>
    <w:p w14:paraId="265D7DD6" w14:textId="77777777" w:rsidR="002B5771" w:rsidRPr="00D2782A" w:rsidRDefault="002B5771" w:rsidP="002B5771">
      <w:pPr>
        <w:rPr>
          <w:rFonts w:ascii="Times New Roman" w:hAnsi="Times New Roman" w:cs="Times New Roman"/>
        </w:rPr>
      </w:pPr>
    </w:p>
    <w:p w14:paraId="6BB1540E" w14:textId="4216DE77" w:rsidR="002B5771" w:rsidRPr="00D2782A" w:rsidRDefault="002B5771" w:rsidP="002B5771">
      <w:pPr>
        <w:rPr>
          <w:rFonts w:ascii="Times New Roman" w:hAnsi="Times New Roman" w:cs="Times New Roman"/>
          <w:i/>
          <w:iCs/>
          <w:sz w:val="24"/>
          <w:szCs w:val="24"/>
        </w:rPr>
      </w:pPr>
      <w:r w:rsidRPr="00D2782A">
        <w:rPr>
          <w:rFonts w:ascii="Times New Roman" w:hAnsi="Times New Roman" w:cs="Times New Roman"/>
          <w:i/>
          <w:iCs/>
          <w:sz w:val="24"/>
          <w:szCs w:val="24"/>
        </w:rPr>
        <w:t>Reference</w:t>
      </w:r>
      <w:r>
        <w:rPr>
          <w:rFonts w:ascii="Times New Roman" w:hAnsi="Times New Roman" w:cs="Times New Roman"/>
          <w:i/>
          <w:iCs/>
          <w:sz w:val="24"/>
          <w:szCs w:val="24"/>
        </w:rPr>
        <w:t>s</w:t>
      </w:r>
      <w:r w:rsidRPr="00D2782A">
        <w:rPr>
          <w:rFonts w:ascii="Times New Roman" w:hAnsi="Times New Roman" w:cs="Times New Roman"/>
          <w:i/>
          <w:iCs/>
          <w:sz w:val="24"/>
          <w:szCs w:val="24"/>
        </w:rPr>
        <w:t>: No Adverse Environmental Effect Standard of the Site Location Law (No Unreasonable Adverse Effect on Surface Water Quality; No Unreasonable Adverse Effect on Ground Water Quality; No Unreasonable Adverse Effect on Ground Water Quantity), 06-096 CMR 375.6-8.</w:t>
      </w:r>
    </w:p>
    <w:p w14:paraId="583DDC7D" w14:textId="77777777" w:rsidR="001F1D35" w:rsidRPr="00386436" w:rsidRDefault="001F1D35" w:rsidP="00EF1F5B">
      <w:pPr>
        <w:rPr>
          <w:rFonts w:ascii="Times New Roman" w:hAnsi="Times New Roman" w:cs="Times New Roman"/>
        </w:rPr>
      </w:pPr>
    </w:p>
    <w:sectPr w:rsidR="001F1D35" w:rsidRPr="00386436"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25AB" w14:textId="77777777" w:rsidR="00910770" w:rsidRDefault="00910770">
      <w:r>
        <w:separator/>
      </w:r>
    </w:p>
  </w:endnote>
  <w:endnote w:type="continuationSeparator" w:id="0">
    <w:p w14:paraId="18C877F8" w14:textId="77777777" w:rsidR="00910770" w:rsidRDefault="0091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EC23" w14:textId="77777777" w:rsidR="00910770" w:rsidRDefault="00910770">
      <w:r>
        <w:separator/>
      </w:r>
    </w:p>
  </w:footnote>
  <w:footnote w:type="continuationSeparator" w:id="0">
    <w:p w14:paraId="66C7AE84" w14:textId="77777777" w:rsidR="00910770" w:rsidRDefault="00910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9"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1"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6"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4"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3"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6"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68"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3"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5"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0"/>
  </w:num>
  <w:num w:numId="2" w16cid:durableId="1542091728">
    <w:abstractNumId w:val="43"/>
  </w:num>
  <w:num w:numId="3" w16cid:durableId="2133939195">
    <w:abstractNumId w:val="74"/>
  </w:num>
  <w:num w:numId="4" w16cid:durableId="665715636">
    <w:abstractNumId w:val="8"/>
  </w:num>
  <w:num w:numId="5" w16cid:durableId="1709524211">
    <w:abstractNumId w:val="52"/>
  </w:num>
  <w:num w:numId="6" w16cid:durableId="637344574">
    <w:abstractNumId w:val="35"/>
  </w:num>
  <w:num w:numId="7" w16cid:durableId="1360397962">
    <w:abstractNumId w:val="67"/>
  </w:num>
  <w:num w:numId="8" w16cid:durableId="214587656">
    <w:abstractNumId w:val="36"/>
  </w:num>
  <w:num w:numId="9" w16cid:durableId="852841062">
    <w:abstractNumId w:val="84"/>
  </w:num>
  <w:num w:numId="10" w16cid:durableId="1071074259">
    <w:abstractNumId w:val="69"/>
  </w:num>
  <w:num w:numId="11" w16cid:durableId="179979296">
    <w:abstractNumId w:val="41"/>
  </w:num>
  <w:num w:numId="12" w16cid:durableId="1289895821">
    <w:abstractNumId w:val="44"/>
  </w:num>
  <w:num w:numId="13" w16cid:durableId="559050616">
    <w:abstractNumId w:val="33"/>
  </w:num>
  <w:num w:numId="14" w16cid:durableId="1657879097">
    <w:abstractNumId w:val="38"/>
  </w:num>
  <w:num w:numId="15" w16cid:durableId="1124814708">
    <w:abstractNumId w:val="49"/>
  </w:num>
  <w:num w:numId="16" w16cid:durableId="1496413427">
    <w:abstractNumId w:val="66"/>
  </w:num>
  <w:num w:numId="17" w16cid:durableId="394161677">
    <w:abstractNumId w:val="73"/>
  </w:num>
  <w:num w:numId="18" w16cid:durableId="1831678242">
    <w:abstractNumId w:val="97"/>
  </w:num>
  <w:num w:numId="19" w16cid:durableId="1044403138">
    <w:abstractNumId w:val="40"/>
  </w:num>
  <w:num w:numId="20" w16cid:durableId="1364937305">
    <w:abstractNumId w:val="23"/>
  </w:num>
  <w:num w:numId="21" w16cid:durableId="1988584204">
    <w:abstractNumId w:val="28"/>
  </w:num>
  <w:num w:numId="22" w16cid:durableId="1891647716">
    <w:abstractNumId w:val="101"/>
  </w:num>
  <w:num w:numId="23" w16cid:durableId="801000857">
    <w:abstractNumId w:val="70"/>
  </w:num>
  <w:num w:numId="24" w16cid:durableId="1489132218">
    <w:abstractNumId w:val="75"/>
  </w:num>
  <w:num w:numId="25" w16cid:durableId="1409352102">
    <w:abstractNumId w:val="16"/>
  </w:num>
  <w:num w:numId="26" w16cid:durableId="1974552604">
    <w:abstractNumId w:val="27"/>
  </w:num>
  <w:num w:numId="27" w16cid:durableId="1804620734">
    <w:abstractNumId w:val="18"/>
  </w:num>
  <w:num w:numId="28" w16cid:durableId="1883784613">
    <w:abstractNumId w:val="34"/>
  </w:num>
  <w:num w:numId="29" w16cid:durableId="1088504029">
    <w:abstractNumId w:val="92"/>
  </w:num>
  <w:num w:numId="30" w16cid:durableId="2061787530">
    <w:abstractNumId w:val="11"/>
  </w:num>
  <w:num w:numId="31" w16cid:durableId="235408636">
    <w:abstractNumId w:val="62"/>
  </w:num>
  <w:num w:numId="32" w16cid:durableId="464853414">
    <w:abstractNumId w:val="20"/>
  </w:num>
  <w:num w:numId="33" w16cid:durableId="1226456986">
    <w:abstractNumId w:val="54"/>
  </w:num>
  <w:num w:numId="34" w16cid:durableId="1427769864">
    <w:abstractNumId w:val="45"/>
  </w:num>
  <w:num w:numId="35" w16cid:durableId="1136338256">
    <w:abstractNumId w:val="56"/>
  </w:num>
  <w:num w:numId="36" w16cid:durableId="1575621385">
    <w:abstractNumId w:val="24"/>
  </w:num>
  <w:num w:numId="37" w16cid:durableId="250818687">
    <w:abstractNumId w:val="21"/>
  </w:num>
  <w:num w:numId="38" w16cid:durableId="1468205109">
    <w:abstractNumId w:val="91"/>
  </w:num>
  <w:num w:numId="39" w16cid:durableId="1228809014">
    <w:abstractNumId w:val="90"/>
  </w:num>
  <w:num w:numId="40" w16cid:durableId="921261930">
    <w:abstractNumId w:val="3"/>
  </w:num>
  <w:num w:numId="41" w16cid:durableId="452796577">
    <w:abstractNumId w:val="95"/>
  </w:num>
  <w:num w:numId="42" w16cid:durableId="981421281">
    <w:abstractNumId w:val="13"/>
  </w:num>
  <w:num w:numId="43" w16cid:durableId="1574703011">
    <w:abstractNumId w:val="78"/>
  </w:num>
  <w:num w:numId="44" w16cid:durableId="2128111920">
    <w:abstractNumId w:val="39"/>
  </w:num>
  <w:num w:numId="45" w16cid:durableId="24139110">
    <w:abstractNumId w:val="80"/>
  </w:num>
  <w:num w:numId="46" w16cid:durableId="1908955084">
    <w:abstractNumId w:val="79"/>
  </w:num>
  <w:num w:numId="47" w16cid:durableId="990792391">
    <w:abstractNumId w:val="93"/>
  </w:num>
  <w:num w:numId="48" w16cid:durableId="1674528015">
    <w:abstractNumId w:val="83"/>
  </w:num>
  <w:num w:numId="49" w16cid:durableId="608389669">
    <w:abstractNumId w:val="61"/>
  </w:num>
  <w:num w:numId="50" w16cid:durableId="491533167">
    <w:abstractNumId w:val="14"/>
  </w:num>
  <w:num w:numId="51" w16cid:durableId="977565891">
    <w:abstractNumId w:val="99"/>
  </w:num>
  <w:num w:numId="52" w16cid:durableId="340133088">
    <w:abstractNumId w:val="98"/>
  </w:num>
  <w:num w:numId="53" w16cid:durableId="1275551913">
    <w:abstractNumId w:val="37"/>
  </w:num>
  <w:num w:numId="54" w16cid:durableId="1628655604">
    <w:abstractNumId w:val="76"/>
  </w:num>
  <w:num w:numId="55" w16cid:durableId="13381625">
    <w:abstractNumId w:val="94"/>
  </w:num>
  <w:num w:numId="56" w16cid:durableId="2086342136">
    <w:abstractNumId w:val="100"/>
  </w:num>
  <w:num w:numId="57" w16cid:durableId="1814250963">
    <w:abstractNumId w:val="86"/>
  </w:num>
  <w:num w:numId="58" w16cid:durableId="468788084">
    <w:abstractNumId w:val="29"/>
  </w:num>
  <w:num w:numId="59" w16cid:durableId="1530800495">
    <w:abstractNumId w:val="85"/>
  </w:num>
  <w:num w:numId="60" w16cid:durableId="940800136">
    <w:abstractNumId w:val="26"/>
  </w:num>
  <w:num w:numId="61" w16cid:durableId="1678729668">
    <w:abstractNumId w:val="46"/>
  </w:num>
  <w:num w:numId="62" w16cid:durableId="595331461">
    <w:abstractNumId w:val="47"/>
  </w:num>
  <w:num w:numId="63" w16cid:durableId="498741261">
    <w:abstractNumId w:val="25"/>
  </w:num>
  <w:num w:numId="64" w16cid:durableId="881330051">
    <w:abstractNumId w:val="32"/>
  </w:num>
  <w:num w:numId="65" w16cid:durableId="788016388">
    <w:abstractNumId w:val="53"/>
  </w:num>
  <w:num w:numId="66" w16cid:durableId="1900438541">
    <w:abstractNumId w:val="9"/>
  </w:num>
  <w:num w:numId="67" w16cid:durableId="375590600">
    <w:abstractNumId w:val="22"/>
  </w:num>
  <w:num w:numId="68" w16cid:durableId="1851672983">
    <w:abstractNumId w:val="59"/>
  </w:num>
  <w:num w:numId="69" w16cid:durableId="322007020">
    <w:abstractNumId w:val="7"/>
  </w:num>
  <w:num w:numId="70" w16cid:durableId="2047757943">
    <w:abstractNumId w:val="19"/>
  </w:num>
  <w:num w:numId="71" w16cid:durableId="1598245194">
    <w:abstractNumId w:val="6"/>
  </w:num>
  <w:num w:numId="72" w16cid:durableId="1239706047">
    <w:abstractNumId w:val="4"/>
  </w:num>
  <w:num w:numId="73" w16cid:durableId="630669887">
    <w:abstractNumId w:val="81"/>
  </w:num>
  <w:num w:numId="74" w16cid:durableId="1322274972">
    <w:abstractNumId w:val="89"/>
  </w:num>
  <w:num w:numId="75" w16cid:durableId="211966499">
    <w:abstractNumId w:val="17"/>
  </w:num>
  <w:num w:numId="76" w16cid:durableId="250048324">
    <w:abstractNumId w:val="0"/>
  </w:num>
  <w:num w:numId="77" w16cid:durableId="1913390541">
    <w:abstractNumId w:val="88"/>
  </w:num>
  <w:num w:numId="78" w16cid:durableId="1423452290">
    <w:abstractNumId w:val="48"/>
  </w:num>
  <w:num w:numId="79" w16cid:durableId="1003433477">
    <w:abstractNumId w:val="87"/>
  </w:num>
  <w:num w:numId="80" w16cid:durableId="407001164">
    <w:abstractNumId w:val="71"/>
  </w:num>
  <w:num w:numId="81" w16cid:durableId="1809660685">
    <w:abstractNumId w:val="57"/>
  </w:num>
  <w:num w:numId="82" w16cid:durableId="991376241">
    <w:abstractNumId w:val="31"/>
  </w:num>
  <w:num w:numId="83" w16cid:durableId="805313393">
    <w:abstractNumId w:val="12"/>
  </w:num>
  <w:num w:numId="84" w16cid:durableId="1190338894">
    <w:abstractNumId w:val="96"/>
  </w:num>
  <w:num w:numId="85" w16cid:durableId="279535118">
    <w:abstractNumId w:val="68"/>
  </w:num>
  <w:num w:numId="86" w16cid:durableId="2020310059">
    <w:abstractNumId w:val="42"/>
  </w:num>
  <w:num w:numId="87" w16cid:durableId="2121948150">
    <w:abstractNumId w:val="63"/>
  </w:num>
  <w:num w:numId="88" w16cid:durableId="1871723465">
    <w:abstractNumId w:val="64"/>
  </w:num>
  <w:num w:numId="89" w16cid:durableId="1370032514">
    <w:abstractNumId w:val="60"/>
  </w:num>
  <w:num w:numId="90" w16cid:durableId="407463096">
    <w:abstractNumId w:val="65"/>
  </w:num>
  <w:num w:numId="91" w16cid:durableId="271129313">
    <w:abstractNumId w:val="58"/>
  </w:num>
  <w:num w:numId="92" w16cid:durableId="865678396">
    <w:abstractNumId w:val="15"/>
  </w:num>
  <w:num w:numId="93" w16cid:durableId="1760830121">
    <w:abstractNumId w:val="82"/>
  </w:num>
  <w:num w:numId="94" w16cid:durableId="872352443">
    <w:abstractNumId w:val="50"/>
  </w:num>
  <w:num w:numId="95" w16cid:durableId="1681472861">
    <w:abstractNumId w:val="77"/>
  </w:num>
  <w:num w:numId="96" w16cid:durableId="115831536">
    <w:abstractNumId w:val="10"/>
  </w:num>
  <w:num w:numId="97" w16cid:durableId="1617252590">
    <w:abstractNumId w:val="1"/>
  </w:num>
  <w:num w:numId="98" w16cid:durableId="560754783">
    <w:abstractNumId w:val="2"/>
  </w:num>
  <w:num w:numId="99" w16cid:durableId="1468670610">
    <w:abstractNumId w:val="72"/>
  </w:num>
  <w:num w:numId="100" w16cid:durableId="1171021165">
    <w:abstractNumId w:val="51"/>
  </w:num>
  <w:num w:numId="101" w16cid:durableId="1163427709">
    <w:abstractNumId w:val="55"/>
  </w:num>
  <w:num w:numId="102" w16cid:durableId="204025045">
    <w:abstractNumId w:val="75"/>
  </w:num>
  <w:num w:numId="103" w16cid:durableId="1934505622">
    <w:abstractNumId w:val="75"/>
  </w:num>
  <w:num w:numId="104" w16cid:durableId="710766546">
    <w:abstractNumId w:val="62"/>
    <w:lvlOverride w:ilvl="0">
      <w:startOverride w:val="1"/>
    </w:lvlOverride>
  </w:num>
  <w:num w:numId="105" w16cid:durableId="1991905555">
    <w:abstractNumId w:val="24"/>
    <w:lvlOverride w:ilvl="0">
      <w:startOverride w:val="1"/>
    </w:lvlOverride>
  </w:num>
  <w:num w:numId="106" w16cid:durableId="2131969378">
    <w:abstractNumId w:val="24"/>
  </w:num>
  <w:num w:numId="107" w16cid:durableId="968559435">
    <w:abstractNumId w:val="24"/>
  </w:num>
  <w:num w:numId="108" w16cid:durableId="1069887930">
    <w:abstractNumId w:val="24"/>
  </w:num>
  <w:num w:numId="109" w16cid:durableId="596793780">
    <w:abstractNumId w:val="24"/>
  </w:num>
  <w:num w:numId="110" w16cid:durableId="1732145793">
    <w:abstractNumId w:val="5"/>
  </w:num>
  <w:num w:numId="111" w16cid:durableId="1775132147">
    <w:abstractNumId w:val="2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4675"/>
    <w:rsid w:val="00124522"/>
    <w:rsid w:val="001348C9"/>
    <w:rsid w:val="00141521"/>
    <w:rsid w:val="00141A3D"/>
    <w:rsid w:val="00143C1E"/>
    <w:rsid w:val="001450F0"/>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F1D35"/>
    <w:rsid w:val="00215F7F"/>
    <w:rsid w:val="00220A2A"/>
    <w:rsid w:val="00222E7B"/>
    <w:rsid w:val="00235906"/>
    <w:rsid w:val="00236490"/>
    <w:rsid w:val="00247B16"/>
    <w:rsid w:val="00273831"/>
    <w:rsid w:val="00280949"/>
    <w:rsid w:val="00282AEE"/>
    <w:rsid w:val="00287443"/>
    <w:rsid w:val="00290A00"/>
    <w:rsid w:val="002921F4"/>
    <w:rsid w:val="0029312F"/>
    <w:rsid w:val="00296F71"/>
    <w:rsid w:val="002B5771"/>
    <w:rsid w:val="002C2678"/>
    <w:rsid w:val="002C56B9"/>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4931"/>
    <w:rsid w:val="003A6C33"/>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A364A"/>
    <w:rsid w:val="004A712D"/>
    <w:rsid w:val="004B2198"/>
    <w:rsid w:val="004C0B59"/>
    <w:rsid w:val="004C64D4"/>
    <w:rsid w:val="004C776E"/>
    <w:rsid w:val="004D2208"/>
    <w:rsid w:val="004E31DD"/>
    <w:rsid w:val="004E6E04"/>
    <w:rsid w:val="0052030A"/>
    <w:rsid w:val="00545DB0"/>
    <w:rsid w:val="0055424D"/>
    <w:rsid w:val="00556734"/>
    <w:rsid w:val="005771BE"/>
    <w:rsid w:val="00577BF0"/>
    <w:rsid w:val="00582987"/>
    <w:rsid w:val="0058409B"/>
    <w:rsid w:val="0059557D"/>
    <w:rsid w:val="005A3829"/>
    <w:rsid w:val="005C1A92"/>
    <w:rsid w:val="005C6C64"/>
    <w:rsid w:val="005C74CE"/>
    <w:rsid w:val="005E033E"/>
    <w:rsid w:val="005F4131"/>
    <w:rsid w:val="006172C1"/>
    <w:rsid w:val="00634D28"/>
    <w:rsid w:val="00643F0C"/>
    <w:rsid w:val="00653087"/>
    <w:rsid w:val="006539BD"/>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B0336"/>
    <w:rsid w:val="007C5F99"/>
    <w:rsid w:val="007D190C"/>
    <w:rsid w:val="007D3AB5"/>
    <w:rsid w:val="007D3E96"/>
    <w:rsid w:val="007D6F4F"/>
    <w:rsid w:val="007E446E"/>
    <w:rsid w:val="007E559E"/>
    <w:rsid w:val="007F3006"/>
    <w:rsid w:val="007F355A"/>
    <w:rsid w:val="007F3EBE"/>
    <w:rsid w:val="007F4436"/>
    <w:rsid w:val="00800E49"/>
    <w:rsid w:val="00801856"/>
    <w:rsid w:val="00802774"/>
    <w:rsid w:val="00807859"/>
    <w:rsid w:val="00815D79"/>
    <w:rsid w:val="00827B3C"/>
    <w:rsid w:val="008311DE"/>
    <w:rsid w:val="00844DC7"/>
    <w:rsid w:val="00847D22"/>
    <w:rsid w:val="00861B26"/>
    <w:rsid w:val="00864B21"/>
    <w:rsid w:val="008677F4"/>
    <w:rsid w:val="00877EDF"/>
    <w:rsid w:val="008A19E2"/>
    <w:rsid w:val="008B5530"/>
    <w:rsid w:val="008C65C9"/>
    <w:rsid w:val="008D0101"/>
    <w:rsid w:val="008D7C6C"/>
    <w:rsid w:val="008E7CDB"/>
    <w:rsid w:val="008F251F"/>
    <w:rsid w:val="008F2C80"/>
    <w:rsid w:val="008F379A"/>
    <w:rsid w:val="00910770"/>
    <w:rsid w:val="00922150"/>
    <w:rsid w:val="00923054"/>
    <w:rsid w:val="00934FEE"/>
    <w:rsid w:val="00936E87"/>
    <w:rsid w:val="00937045"/>
    <w:rsid w:val="009400B2"/>
    <w:rsid w:val="00986CC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67A0F"/>
    <w:rsid w:val="00A94262"/>
    <w:rsid w:val="00AC3206"/>
    <w:rsid w:val="00AC4550"/>
    <w:rsid w:val="00AC570B"/>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E624B"/>
    <w:rsid w:val="00BF35F9"/>
    <w:rsid w:val="00C23BB5"/>
    <w:rsid w:val="00C501C1"/>
    <w:rsid w:val="00C57D7A"/>
    <w:rsid w:val="00C658BE"/>
    <w:rsid w:val="00C82E48"/>
    <w:rsid w:val="00CA1423"/>
    <w:rsid w:val="00CA7149"/>
    <w:rsid w:val="00CB788C"/>
    <w:rsid w:val="00CE0A7E"/>
    <w:rsid w:val="00CE29A9"/>
    <w:rsid w:val="00CE4B3D"/>
    <w:rsid w:val="00CF249B"/>
    <w:rsid w:val="00CF3D25"/>
    <w:rsid w:val="00CF4CD6"/>
    <w:rsid w:val="00CF5890"/>
    <w:rsid w:val="00D127AC"/>
    <w:rsid w:val="00D3102C"/>
    <w:rsid w:val="00D31FEB"/>
    <w:rsid w:val="00D50D19"/>
    <w:rsid w:val="00D56474"/>
    <w:rsid w:val="00D73060"/>
    <w:rsid w:val="00D7339A"/>
    <w:rsid w:val="00D74366"/>
    <w:rsid w:val="00D74380"/>
    <w:rsid w:val="00D75598"/>
    <w:rsid w:val="00D75DE4"/>
    <w:rsid w:val="00D941AF"/>
    <w:rsid w:val="00D978A6"/>
    <w:rsid w:val="00DA2BA6"/>
    <w:rsid w:val="00DA33C8"/>
    <w:rsid w:val="00DA4C46"/>
    <w:rsid w:val="00DA76E1"/>
    <w:rsid w:val="00DC4458"/>
    <w:rsid w:val="00DC72E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4ECD"/>
    <w:rsid w:val="00E80C28"/>
    <w:rsid w:val="00E8705A"/>
    <w:rsid w:val="00E875A3"/>
    <w:rsid w:val="00E92D17"/>
    <w:rsid w:val="00E96663"/>
    <w:rsid w:val="00EB5107"/>
    <w:rsid w:val="00EC06D3"/>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9610A"/>
    <w:rsid w:val="00FA36B8"/>
    <w:rsid w:val="00FB3AF8"/>
    <w:rsid w:val="00FD3E6B"/>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2026-03-04T20:25:00Z</dcterms:created>
  <dcterms:modified xsi:type="dcterms:W3CDTF">2026-03-04T20:25:00Z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